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D9" w:rsidRPr="001C37D9" w:rsidRDefault="001C37D9" w:rsidP="001C37D9">
      <w:pPr>
        <w:pStyle w:val="ConsPlusTitle"/>
        <w:jc w:val="right"/>
        <w:outlineLvl w:val="1"/>
        <w:rPr>
          <w:sz w:val="20"/>
          <w:szCs w:val="20"/>
        </w:rPr>
      </w:pPr>
      <w:r w:rsidRPr="001C37D9">
        <w:rPr>
          <w:sz w:val="20"/>
          <w:szCs w:val="20"/>
        </w:rPr>
        <w:t>Постановление Правительства РФ от 07.12.2019 N 1610</w:t>
      </w:r>
    </w:p>
    <w:p w:rsidR="001C37D9" w:rsidRDefault="001C37D9" w:rsidP="001C37D9">
      <w:pPr>
        <w:pStyle w:val="ConsPlusTitle"/>
        <w:jc w:val="right"/>
        <w:outlineLvl w:val="1"/>
        <w:rPr>
          <w:sz w:val="20"/>
          <w:szCs w:val="20"/>
        </w:rPr>
      </w:pPr>
      <w:r w:rsidRPr="001C37D9">
        <w:rPr>
          <w:sz w:val="20"/>
          <w:szCs w:val="20"/>
        </w:rPr>
        <w:t>"О Программе государственных гарантий бесплатного оказания гражданам медицинской помощи на 2020 год и на плановый период 2021 и 2022 годов"</w:t>
      </w:r>
    </w:p>
    <w:p w:rsidR="001C37D9" w:rsidRPr="001C37D9" w:rsidRDefault="001C37D9" w:rsidP="001C37D9">
      <w:pPr>
        <w:pStyle w:val="ConsPlusTitle"/>
        <w:jc w:val="right"/>
        <w:outlineLvl w:val="1"/>
        <w:rPr>
          <w:sz w:val="20"/>
          <w:szCs w:val="20"/>
        </w:rPr>
      </w:pPr>
    </w:p>
    <w:p w:rsidR="001C37D9" w:rsidRDefault="001C37D9" w:rsidP="001C37D9">
      <w:pPr>
        <w:pStyle w:val="ConsPlusTitle"/>
        <w:jc w:val="center"/>
        <w:outlineLvl w:val="1"/>
      </w:pPr>
      <w:r>
        <w:t xml:space="preserve">IX. </w:t>
      </w:r>
      <w:bookmarkStart w:id="0" w:name="_GoBack"/>
      <w:r>
        <w:t>Критерии доступности и качества медицинской помощи</w:t>
      </w:r>
      <w:bookmarkEnd w:id="0"/>
    </w:p>
    <w:p w:rsidR="001C37D9" w:rsidRDefault="001C37D9" w:rsidP="001C37D9">
      <w:pPr>
        <w:pStyle w:val="ConsPlusNormal"/>
        <w:jc w:val="both"/>
      </w:pPr>
    </w:p>
    <w:p w:rsidR="001C37D9" w:rsidRDefault="001C37D9" w:rsidP="001C37D9">
      <w:pPr>
        <w:pStyle w:val="ConsPlusNormal"/>
        <w:ind w:firstLine="540"/>
        <w:jc w:val="both"/>
      </w:pPr>
      <w:r>
        <w:t>Критериями доступности медицинской помощи являются: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обеспеченность населения врачами (на 10 тыс. человек населения, включая городское и сельское население), в том числе оказывающими медицинскую помощь в амбулаторных и стационарных условиях;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обеспеченность населения средним медицинским персоналом (на 10 тыс. человек населения, включая городское и сельское население), в том числе оказывающим медицинскую помощь в амбулаторных и стационарных условиях;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охвата диспансеризацией взрослого населения, подлежащего диспансеризации;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охвата профилактическими медицинскими осмотрами взрослого населения, в том числе городских и сельских жителей, подлежащего профилактическим медицинским осмотрам;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охвата профилактическими медицинскими осмотрами детей, в том числе городских и сельских жителей, подлежащих профилактическим медицинским осмотрам;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записей к врачу, совершенных гражданами без очного обращения в регистратуру медицинской организации, в общем количестве записей к врачу;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число лиц, проживающих в сельской местности, которым оказана скорая медицинская помощь (на 1000 человек сельского населения);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фельдшерских, фельдшерско-акушерских пунктов, находящихся в аварийном состоянии и требующих капитального ремонта, в общем количестве фельдшерских, фельдшерско-акушерских пунктов;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число пациентов, получивших паллиативную медицинскую помощь по месту жительства, в том числе на дому;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 xml:space="preserve">число пациентов, которым оказана паллиативная медицинская помощь по месту их </w:t>
      </w:r>
      <w:r>
        <w:lastRenderedPageBreak/>
        <w:t>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женщин, которым проведено экстракорпоральное оплодотворение, в общем количестве женщин с бесплодием.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удовлетворенность населения медицинской помощью, в том числе городского и сельского населения (процентов числа опрошенных);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смертность населения в трудоспособном возрасте (число умерших в трудоспособном возрасте на 100 тыс. человек населения);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умерших в трудоспособном возрасте на дому в общем количестве умерших в трудоспособном возрасте;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материнская смертность (на 100 тыс. человек, родившихся живыми);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младенческая смертность, в том числе в городской и сельской местности (на 1000 человек, родившихся живыми);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умерших в возрасте до 1 года на дому в общем количестве умерших в возрасте до 1 года;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смертность детей в возрасте 0 - 4 лет (на 1000 родившихся живыми);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смертность населения, в том числе городского и сельского населения (число умерших на 1000 человек населения);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умерших в возрасте 0 - 4 лет на дому в общем количестве умерших в возрасте 0 - 4 лет;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смертность детей в возрасте 0 - 17 лет (на 100 тыс. человек населения соответствующего возраста);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умерших в возрасте 0 - 17 лет на дому в общем количестве умерших в возрасте 0 - 17 лет;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 xml:space="preserve">доля пациентов со злокачественными новообразованиями, находящихся под диспансерным наблюдением с даты установления диагноза 5 лет и более, в общем числе пациентов со злокачественными новообразованиями, находящихся под диспансерным </w:t>
      </w:r>
      <w:r>
        <w:lastRenderedPageBreak/>
        <w:t>наблюдением;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диспансерное наблюдение;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лиц, инфицированных вирусом иммунодефицита человека, получающих антиретровирусную терапию, в общем количестве лиц, инфицированных вирусом иммунодефицита человека;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впервые выявленных случаев фиброзно-кавернозного туберкулеза в общем количестве выявленных случаев туберкулеза в течение года;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 xml:space="preserve">доля пациентов с острым инфарктом миокарда, которым проведено </w:t>
      </w:r>
      <w:proofErr w:type="spellStart"/>
      <w:r>
        <w:t>стентирование</w:t>
      </w:r>
      <w:proofErr w:type="spellEnd"/>
      <w:r>
        <w:t xml:space="preserve"> коронарных артерий, в общем количестве пациентов с острым инфарктом миокарда, имеющих показания к его проведению;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 xml:space="preserve">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>
        <w:t>тромболизис</w:t>
      </w:r>
      <w:proofErr w:type="spellEnd"/>
      <w:r>
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 xml:space="preserve">доля пациентов с острым инфарктом миокарда,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инфарктом миокарда, имеющих показания к ее проведению;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 xml:space="preserve">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 xml:space="preserve">доля пациентов, получивших паллиативную медицинскую помощь, в общем </w:t>
      </w:r>
      <w:r>
        <w:lastRenderedPageBreak/>
        <w:t>количестве пациентов, нуждающихся в паллиативной медицинской помощи;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количество обоснованных жалоб, в том числе на отказ в оказании медицинской помощи, предоставляемой в рамках территориальной программы.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Территориальной 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Критериями доступности медицинской помощи, оказываемой медицинскими организациями, подведомственными федеральным органам исполнительной власти, являются: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объема специализированной, в том числе высокотехнологичной, медицинской помощи, оказанной гражданам, проживающим за пределами субъекта Российской Федерации, в котором расположена медицинская организация, подведомственная федеральному органу исполнительной власти, в общем объеме медицинской помощи, оказанной этой медицинской организацией (за исключением медицинских организаций, имеющих прикрепленное население) (целевое значение - не менее 50 процентов);</w:t>
      </w:r>
    </w:p>
    <w:p w:rsidR="001C37D9" w:rsidRDefault="001C37D9" w:rsidP="001C37D9">
      <w:pPr>
        <w:pStyle w:val="ConsPlusNormal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медицинской организации, подведомственной федеральному органу исполнительной власти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A7053C" w:rsidRDefault="00A7053C"/>
    <w:sectPr w:rsidR="00A7053C" w:rsidSect="0047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7D9"/>
    <w:rsid w:val="00137EA8"/>
    <w:rsid w:val="001C37D9"/>
    <w:rsid w:val="00280E8F"/>
    <w:rsid w:val="0042273B"/>
    <w:rsid w:val="00477E51"/>
    <w:rsid w:val="00A7053C"/>
    <w:rsid w:val="00EE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C37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7848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Главбух</cp:lastModifiedBy>
  <cp:revision>2</cp:revision>
  <dcterms:created xsi:type="dcterms:W3CDTF">2020-03-17T11:21:00Z</dcterms:created>
  <dcterms:modified xsi:type="dcterms:W3CDTF">2020-03-17T11:21:00Z</dcterms:modified>
</cp:coreProperties>
</file>